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CE" w:rsidRPr="00A3065D" w:rsidRDefault="00025BCE" w:rsidP="00407381">
      <w:pPr>
        <w:jc w:val="right"/>
        <w:rPr>
          <w:rFonts w:ascii="Times New Roman" w:hAnsi="Times New Roman" w:cs="Times New Roman"/>
        </w:rPr>
      </w:pPr>
    </w:p>
    <w:p w:rsidR="00C47FB8" w:rsidRPr="00A3065D" w:rsidRDefault="00407381" w:rsidP="00407381">
      <w:pPr>
        <w:jc w:val="right"/>
        <w:rPr>
          <w:rFonts w:ascii="Times New Roman" w:hAnsi="Times New Roman" w:cs="Times New Roman"/>
        </w:rPr>
      </w:pPr>
      <w:r w:rsidRPr="00A3065D">
        <w:rPr>
          <w:rFonts w:ascii="Times New Roman" w:hAnsi="Times New Roman" w:cs="Times New Roman"/>
        </w:rPr>
        <w:t xml:space="preserve">Stawiski, dnia </w:t>
      </w:r>
      <w:r w:rsidR="00025BCE" w:rsidRPr="00A3065D">
        <w:rPr>
          <w:rFonts w:ascii="Times New Roman" w:hAnsi="Times New Roman" w:cs="Times New Roman"/>
        </w:rPr>
        <w:t>18 września 2017r</w:t>
      </w:r>
      <w:r w:rsidRPr="00A3065D">
        <w:rPr>
          <w:rFonts w:ascii="Times New Roman" w:hAnsi="Times New Roman" w:cs="Times New Roman"/>
        </w:rPr>
        <w:t>.</w:t>
      </w:r>
    </w:p>
    <w:p w:rsidR="00407381" w:rsidRPr="00A3065D" w:rsidRDefault="00025BCE" w:rsidP="00407381">
      <w:pPr>
        <w:rPr>
          <w:rFonts w:ascii="Times New Roman" w:hAnsi="Times New Roman" w:cs="Times New Roman"/>
        </w:rPr>
      </w:pPr>
      <w:r w:rsidRPr="00A3065D">
        <w:rPr>
          <w:rFonts w:ascii="Times New Roman" w:hAnsi="Times New Roman" w:cs="Times New Roman"/>
        </w:rPr>
        <w:t>DRG.271.2.2017</w:t>
      </w:r>
    </w:p>
    <w:p w:rsidR="00025BCE" w:rsidRPr="00A006A7" w:rsidRDefault="00025BCE" w:rsidP="00A006A7">
      <w:pPr>
        <w:spacing w:after="0"/>
        <w:ind w:left="2835" w:firstLine="1843"/>
        <w:jc w:val="center"/>
        <w:rPr>
          <w:rFonts w:ascii="Times New Roman" w:hAnsi="Times New Roman" w:cs="Times New Roman"/>
          <w:b/>
          <w:i/>
          <w:sz w:val="28"/>
          <w:szCs w:val="28"/>
        </w:rPr>
      </w:pPr>
      <w:r w:rsidRPr="00A006A7">
        <w:rPr>
          <w:rFonts w:ascii="Times New Roman" w:hAnsi="Times New Roman" w:cs="Times New Roman"/>
          <w:b/>
          <w:i/>
          <w:sz w:val="28"/>
          <w:szCs w:val="28"/>
        </w:rPr>
        <w:t>Wykonawcy</w:t>
      </w:r>
    </w:p>
    <w:p w:rsidR="00407381" w:rsidRPr="00A006A7" w:rsidRDefault="00025BCE" w:rsidP="00A006A7">
      <w:pPr>
        <w:spacing w:after="0"/>
        <w:ind w:left="2835" w:firstLine="1843"/>
        <w:jc w:val="center"/>
        <w:rPr>
          <w:rFonts w:ascii="Times New Roman" w:hAnsi="Times New Roman" w:cs="Times New Roman"/>
          <w:b/>
          <w:i/>
          <w:sz w:val="28"/>
          <w:szCs w:val="28"/>
        </w:rPr>
      </w:pPr>
      <w:r w:rsidRPr="00A006A7">
        <w:rPr>
          <w:rFonts w:ascii="Times New Roman" w:hAnsi="Times New Roman" w:cs="Times New Roman"/>
          <w:b/>
          <w:i/>
          <w:sz w:val="28"/>
          <w:szCs w:val="28"/>
        </w:rPr>
        <w:t xml:space="preserve"> biorący udział w postępowaniu</w:t>
      </w:r>
    </w:p>
    <w:p w:rsidR="00A3065D" w:rsidRPr="00A3065D" w:rsidRDefault="00A3065D" w:rsidP="00A3065D">
      <w:pPr>
        <w:spacing w:after="0" w:line="360" w:lineRule="auto"/>
        <w:ind w:left="2835" w:firstLine="1843"/>
        <w:jc w:val="center"/>
        <w:rPr>
          <w:rFonts w:ascii="Times New Roman" w:hAnsi="Times New Roman" w:cs="Times New Roman"/>
          <w:b/>
          <w:i/>
        </w:rPr>
      </w:pPr>
    </w:p>
    <w:p w:rsidR="00407381" w:rsidRPr="00A3065D" w:rsidRDefault="00407381" w:rsidP="00A3065D">
      <w:pPr>
        <w:spacing w:after="0"/>
        <w:ind w:firstLine="708"/>
        <w:jc w:val="both"/>
        <w:rPr>
          <w:rFonts w:ascii="Times New Roman" w:hAnsi="Times New Roman" w:cs="Times New Roman"/>
        </w:rPr>
      </w:pPr>
      <w:r w:rsidRPr="00A3065D">
        <w:rPr>
          <w:rFonts w:ascii="Times New Roman" w:hAnsi="Times New Roman" w:cs="Times New Roman"/>
        </w:rPr>
        <w:t xml:space="preserve">Zamawiający na podstawie art. 38 ust. 4 </w:t>
      </w:r>
      <w:r w:rsidR="00025BCE" w:rsidRPr="00A3065D">
        <w:rPr>
          <w:rFonts w:ascii="Times New Roman" w:hAnsi="Times New Roman" w:cs="Times New Roman"/>
        </w:rPr>
        <w:t>u</w:t>
      </w:r>
      <w:r w:rsidR="004E7CA1" w:rsidRPr="00A3065D">
        <w:rPr>
          <w:rFonts w:ascii="Times New Roman" w:hAnsi="Times New Roman" w:cs="Times New Roman"/>
        </w:rPr>
        <w:t xml:space="preserve">stawy </w:t>
      </w:r>
      <w:r w:rsidR="00025BCE" w:rsidRPr="00A3065D">
        <w:rPr>
          <w:rFonts w:ascii="Times New Roman" w:hAnsi="Times New Roman" w:cs="Times New Roman"/>
        </w:rPr>
        <w:t xml:space="preserve">z dnia 29 stycznia 2004r. Prawo Zamówień Publicznych (Dz. U. z 2017r. poz. 1579) </w:t>
      </w:r>
      <w:r w:rsidRPr="00A3065D">
        <w:rPr>
          <w:rFonts w:ascii="Times New Roman" w:hAnsi="Times New Roman" w:cs="Times New Roman"/>
        </w:rPr>
        <w:t>zmienia treść Specyfikacji Istotnych Warunków Zamówienia, którą umiesz</w:t>
      </w:r>
      <w:r w:rsidR="00510C93" w:rsidRPr="00A3065D">
        <w:rPr>
          <w:rFonts w:ascii="Times New Roman" w:hAnsi="Times New Roman" w:cs="Times New Roman"/>
        </w:rPr>
        <w:t>cza się na stronie internetowej Zamawiającego www.bip.stawiski.pl.</w:t>
      </w:r>
    </w:p>
    <w:p w:rsidR="00A006A7" w:rsidRDefault="00A006A7" w:rsidP="00A3065D">
      <w:pPr>
        <w:suppressAutoHyphens/>
        <w:autoSpaceDE w:val="0"/>
        <w:spacing w:after="0"/>
        <w:jc w:val="both"/>
        <w:rPr>
          <w:rFonts w:ascii="Times New Roman" w:hAnsi="Times New Roman" w:cs="Times New Roman"/>
        </w:rPr>
      </w:pPr>
    </w:p>
    <w:p w:rsidR="00826829" w:rsidRDefault="00DC52F8" w:rsidP="00A3065D">
      <w:pPr>
        <w:suppressAutoHyphens/>
        <w:autoSpaceDE w:val="0"/>
        <w:spacing w:after="0"/>
        <w:jc w:val="both"/>
        <w:rPr>
          <w:rFonts w:ascii="Times New Roman" w:hAnsi="Times New Roman" w:cs="Times New Roman"/>
        </w:rPr>
      </w:pPr>
      <w:r w:rsidRPr="00A3065D">
        <w:rPr>
          <w:rFonts w:ascii="Times New Roman" w:hAnsi="Times New Roman" w:cs="Times New Roman"/>
        </w:rPr>
        <w:t>Zamawiający zmienia treść SIWZ w</w:t>
      </w:r>
      <w:r w:rsidR="00826829" w:rsidRPr="00A3065D">
        <w:rPr>
          <w:rFonts w:ascii="Times New Roman" w:hAnsi="Times New Roman" w:cs="Times New Roman"/>
        </w:rPr>
        <w:t>:</w:t>
      </w:r>
    </w:p>
    <w:p w:rsidR="00A739BF" w:rsidRPr="00A3065D" w:rsidRDefault="00DC52F8" w:rsidP="00A3065D">
      <w:pPr>
        <w:pStyle w:val="Akapitzlist"/>
        <w:numPr>
          <w:ilvl w:val="0"/>
          <w:numId w:val="2"/>
        </w:numPr>
        <w:suppressAutoHyphens/>
        <w:autoSpaceDE w:val="0"/>
        <w:spacing w:after="0"/>
        <w:jc w:val="both"/>
        <w:rPr>
          <w:rFonts w:ascii="Times New Roman" w:eastAsia="Calibri" w:hAnsi="Times New Roman" w:cs="Times New Roman"/>
          <w:b/>
          <w:i/>
          <w:lang w:eastAsia="zh-CN"/>
        </w:rPr>
      </w:pPr>
      <w:r w:rsidRPr="00A3065D">
        <w:rPr>
          <w:rFonts w:ascii="Times New Roman" w:hAnsi="Times New Roman" w:cs="Times New Roman"/>
        </w:rPr>
        <w:t xml:space="preserve">Rozdziale </w:t>
      </w:r>
      <w:r w:rsidR="00510C93" w:rsidRPr="00A3065D">
        <w:rPr>
          <w:rFonts w:ascii="Times New Roman" w:hAnsi="Times New Roman" w:cs="Times New Roman"/>
        </w:rPr>
        <w:t>III</w:t>
      </w:r>
      <w:r w:rsidR="00826829" w:rsidRPr="00A3065D">
        <w:rPr>
          <w:rFonts w:ascii="Times New Roman" w:hAnsi="Times New Roman" w:cs="Times New Roman"/>
        </w:rPr>
        <w:t>.</w:t>
      </w:r>
      <w:r w:rsidR="00510C93" w:rsidRPr="00A3065D">
        <w:rPr>
          <w:rFonts w:ascii="Times New Roman" w:hAnsi="Times New Roman" w:cs="Times New Roman"/>
        </w:rPr>
        <w:t xml:space="preserve"> </w:t>
      </w:r>
      <w:r w:rsidR="00A3065D" w:rsidRPr="00A3065D">
        <w:rPr>
          <w:rFonts w:ascii="Times New Roman" w:hAnsi="Times New Roman" w:cs="Times New Roman"/>
          <w:bCs/>
        </w:rPr>
        <w:t>OPIS PRZEDMIOTU ZAMÓWIENIA</w:t>
      </w:r>
      <w:r w:rsidR="00A3065D" w:rsidRPr="00A3065D">
        <w:rPr>
          <w:b/>
          <w:bCs/>
          <w:i/>
        </w:rPr>
        <w:t xml:space="preserve"> </w:t>
      </w:r>
      <w:r w:rsidR="00510C93" w:rsidRPr="00A3065D">
        <w:rPr>
          <w:rFonts w:ascii="Times New Roman" w:hAnsi="Times New Roman" w:cs="Times New Roman"/>
        </w:rPr>
        <w:t>pkt 1</w:t>
      </w:r>
      <w:r w:rsidRPr="00A3065D">
        <w:rPr>
          <w:rFonts w:ascii="Times New Roman" w:hAnsi="Times New Roman" w:cs="Times New Roman"/>
        </w:rPr>
        <w:t xml:space="preserve"> </w:t>
      </w:r>
      <w:proofErr w:type="spellStart"/>
      <w:r w:rsidR="00826829" w:rsidRPr="00A3065D">
        <w:rPr>
          <w:rFonts w:ascii="Times New Roman" w:hAnsi="Times New Roman" w:cs="Times New Roman"/>
        </w:rPr>
        <w:t>ppkt</w:t>
      </w:r>
      <w:proofErr w:type="spellEnd"/>
      <w:r w:rsidR="00826829" w:rsidRPr="00A3065D">
        <w:rPr>
          <w:rFonts w:ascii="Times New Roman" w:hAnsi="Times New Roman" w:cs="Times New Roman"/>
        </w:rPr>
        <w:t xml:space="preserve"> </w:t>
      </w:r>
      <w:r w:rsidR="00A3065D" w:rsidRPr="00A3065D">
        <w:rPr>
          <w:rFonts w:ascii="Times New Roman" w:hAnsi="Times New Roman" w:cs="Times New Roman"/>
        </w:rPr>
        <w:t xml:space="preserve">2 </w:t>
      </w:r>
      <w:r w:rsidR="00826829" w:rsidRPr="00A3065D">
        <w:rPr>
          <w:rFonts w:ascii="Times New Roman" w:hAnsi="Times New Roman" w:cs="Times New Roman"/>
        </w:rPr>
        <w:t xml:space="preserve">o następującej treści: </w:t>
      </w:r>
    </w:p>
    <w:p w:rsidR="00A3065D" w:rsidRPr="00A3065D" w:rsidRDefault="00A3065D" w:rsidP="00A3065D">
      <w:pPr>
        <w:autoSpaceDE w:val="0"/>
        <w:adjustRightInd w:val="0"/>
        <w:spacing w:after="0"/>
        <w:ind w:right="23"/>
        <w:jc w:val="both"/>
        <w:rPr>
          <w:rFonts w:ascii="Times New Roman" w:hAnsi="Times New Roman" w:cs="Times New Roman"/>
          <w:lang w:eastAsia="pl-PL"/>
        </w:rPr>
      </w:pPr>
      <w:r w:rsidRPr="00A3065D">
        <w:rPr>
          <w:rFonts w:ascii="Times New Roman" w:hAnsi="Times New Roman" w:cs="Times New Roman"/>
          <w:b/>
          <w:bCs/>
          <w:lang w:eastAsia="pl-PL"/>
        </w:rPr>
        <w:t>„2) Dobudowa oświetlenia</w:t>
      </w:r>
      <w:r w:rsidRPr="00A3065D">
        <w:rPr>
          <w:rFonts w:ascii="Times New Roman" w:hAnsi="Times New Roman" w:cs="Times New Roman"/>
          <w:lang w:eastAsia="pl-PL"/>
        </w:rPr>
        <w:t xml:space="preserve"> na terenie Gminy Stawiski (słupy ocynkowane, wysięgniki, linia kablowa, oprawa LED), w tym:</w:t>
      </w:r>
    </w:p>
    <w:p w:rsidR="00A3065D" w:rsidRDefault="00A3065D" w:rsidP="00A3065D">
      <w:pPr>
        <w:numPr>
          <w:ilvl w:val="1"/>
          <w:numId w:val="3"/>
        </w:numPr>
        <w:autoSpaceDE w:val="0"/>
        <w:adjustRightInd w:val="0"/>
        <w:spacing w:after="0"/>
        <w:ind w:left="993" w:right="23" w:hanging="425"/>
        <w:jc w:val="both"/>
        <w:rPr>
          <w:rFonts w:ascii="Times New Roman" w:hAnsi="Times New Roman" w:cs="Times New Roman"/>
          <w:lang w:eastAsia="pl-PL"/>
        </w:rPr>
      </w:pPr>
      <w:r>
        <w:rPr>
          <w:rFonts w:ascii="Times New Roman" w:hAnsi="Times New Roman" w:cs="Times New Roman"/>
          <w:b/>
          <w:bCs/>
          <w:lang w:eastAsia="pl-PL"/>
        </w:rPr>
        <w:t>łącznie 153 nowe punkty świetlne na istniejących słupach sieci przesyłowej PGE</w:t>
      </w:r>
      <w:r>
        <w:rPr>
          <w:rFonts w:ascii="Times New Roman" w:hAnsi="Times New Roman" w:cs="Times New Roman"/>
          <w:lang w:eastAsia="pl-PL"/>
        </w:rPr>
        <w:t>, zgodnie z Załącznikiem nr 12a –</w:t>
      </w:r>
      <w:r w:rsidRPr="009B581D">
        <w:rPr>
          <w:rFonts w:ascii="Times New Roman" w:hAnsi="Times New Roman" w:cs="Times New Roman"/>
          <w:lang w:eastAsia="pl-PL"/>
        </w:rPr>
        <w:t xml:space="preserve"> </w:t>
      </w:r>
      <w:r>
        <w:rPr>
          <w:rFonts w:ascii="Times New Roman" w:hAnsi="Times New Roman" w:cs="Times New Roman"/>
          <w:lang w:eastAsia="pl-PL"/>
        </w:rPr>
        <w:t>Lokalizacja nowych punktów świetlnych, oraz Załącznikiem nr 11</w:t>
      </w:r>
      <w:r w:rsidRPr="009B581D">
        <w:rPr>
          <w:rFonts w:ascii="Times New Roman" w:hAnsi="Times New Roman" w:cs="Times New Roman"/>
          <w:lang w:eastAsia="pl-PL"/>
        </w:rPr>
        <w:t xml:space="preserve"> „Wytyczne dla opraw oświetleniowych LED”. </w:t>
      </w:r>
      <w:r>
        <w:rPr>
          <w:rFonts w:ascii="Times New Roman" w:hAnsi="Times New Roman" w:cs="Times New Roman"/>
          <w:lang w:eastAsia="pl-PL"/>
        </w:rPr>
        <w:t>Zamawiający nie posiada uzgodnień z PGE Dystrybucja SA w zakresie dobudowy nowych punktów, uzyskanie wszelkich niezbędnych zgód i uzgodnień leży po stronie Wykonawcy, jak również uzyskanie późniejszych odbiorów i zatwierdzeń</w:t>
      </w:r>
      <w:r w:rsidRPr="009B581D">
        <w:rPr>
          <w:rFonts w:ascii="Times New Roman" w:hAnsi="Times New Roman" w:cs="Times New Roman"/>
          <w:lang w:eastAsia="pl-PL"/>
        </w:rPr>
        <w:t xml:space="preserve">. </w:t>
      </w:r>
      <w:r>
        <w:rPr>
          <w:rFonts w:ascii="Times New Roman" w:hAnsi="Times New Roman" w:cs="Times New Roman"/>
          <w:lang w:eastAsia="pl-PL"/>
        </w:rPr>
        <w:t>Wykona</w:t>
      </w:r>
      <w:r w:rsidRPr="009B581D">
        <w:rPr>
          <w:rFonts w:ascii="Times New Roman" w:hAnsi="Times New Roman" w:cs="Times New Roman"/>
          <w:lang w:eastAsia="pl-PL"/>
        </w:rPr>
        <w:t xml:space="preserve">wca odpowiada również za ewentualny demontaż obecnie zamontowanych opraw i słupów oraz linii oraz ich utylizację; </w:t>
      </w:r>
    </w:p>
    <w:p w:rsidR="00A3065D" w:rsidRDefault="00A3065D" w:rsidP="00A3065D">
      <w:pPr>
        <w:numPr>
          <w:ilvl w:val="1"/>
          <w:numId w:val="3"/>
        </w:numPr>
        <w:autoSpaceDE w:val="0"/>
        <w:adjustRightInd w:val="0"/>
        <w:spacing w:after="0"/>
        <w:ind w:left="993" w:right="23"/>
        <w:jc w:val="both"/>
        <w:rPr>
          <w:rFonts w:ascii="Times New Roman" w:hAnsi="Times New Roman" w:cs="Times New Roman"/>
          <w:lang w:eastAsia="pl-PL"/>
        </w:rPr>
      </w:pPr>
      <w:r>
        <w:rPr>
          <w:rFonts w:ascii="Times New Roman" w:hAnsi="Times New Roman" w:cs="Times New Roman"/>
          <w:b/>
          <w:bCs/>
          <w:lang w:eastAsia="pl-PL"/>
        </w:rPr>
        <w:t>łącznie 87 nowych</w:t>
      </w:r>
      <w:r w:rsidRPr="009B581D">
        <w:rPr>
          <w:rFonts w:ascii="Times New Roman" w:hAnsi="Times New Roman" w:cs="Times New Roman"/>
          <w:lang w:eastAsia="pl-PL"/>
        </w:rPr>
        <w:t xml:space="preserve"> </w:t>
      </w:r>
      <w:r>
        <w:rPr>
          <w:rFonts w:ascii="Times New Roman" w:hAnsi="Times New Roman" w:cs="Times New Roman"/>
          <w:b/>
          <w:lang w:eastAsia="pl-PL"/>
        </w:rPr>
        <w:t>punktów świetlnych</w:t>
      </w:r>
      <w:r w:rsidRPr="0071543E">
        <w:rPr>
          <w:rFonts w:ascii="Times New Roman" w:hAnsi="Times New Roman" w:cs="Times New Roman"/>
          <w:b/>
          <w:lang w:eastAsia="pl-PL"/>
        </w:rPr>
        <w:t xml:space="preserve"> na nowych</w:t>
      </w:r>
      <w:r>
        <w:rPr>
          <w:rFonts w:ascii="Times New Roman" w:hAnsi="Times New Roman" w:cs="Times New Roman"/>
          <w:lang w:eastAsia="pl-PL"/>
        </w:rPr>
        <w:t xml:space="preserve"> </w:t>
      </w:r>
      <w:r w:rsidRPr="0071543E">
        <w:rPr>
          <w:rFonts w:ascii="Times New Roman" w:hAnsi="Times New Roman" w:cs="Times New Roman"/>
          <w:b/>
          <w:lang w:eastAsia="pl-PL"/>
        </w:rPr>
        <w:t>liniach</w:t>
      </w:r>
      <w:r w:rsidRPr="009B581D">
        <w:rPr>
          <w:rFonts w:ascii="Times New Roman" w:hAnsi="Times New Roman" w:cs="Times New Roman"/>
          <w:lang w:eastAsia="pl-PL"/>
        </w:rPr>
        <w:t xml:space="preserve"> (ilość szacunkowa), </w:t>
      </w:r>
      <w:r w:rsidRPr="006579C9">
        <w:rPr>
          <w:rFonts w:ascii="Times New Roman" w:hAnsi="Times New Roman" w:cs="Times New Roman"/>
          <w:b/>
          <w:bCs/>
          <w:lang w:eastAsia="pl-PL"/>
        </w:rPr>
        <w:t>zgodnie z PFU</w:t>
      </w:r>
      <w:r w:rsidRPr="006579C9">
        <w:rPr>
          <w:rFonts w:ascii="Times New Roman" w:hAnsi="Times New Roman" w:cs="Times New Roman"/>
          <w:lang w:eastAsia="pl-PL"/>
        </w:rPr>
        <w:t xml:space="preserve"> i </w:t>
      </w:r>
      <w:r>
        <w:rPr>
          <w:rFonts w:ascii="Times New Roman" w:hAnsi="Times New Roman" w:cs="Times New Roman"/>
          <w:lang w:eastAsia="pl-PL"/>
        </w:rPr>
        <w:t>Załącznik</w:t>
      </w:r>
      <w:r w:rsidRPr="006579C9">
        <w:rPr>
          <w:rFonts w:ascii="Times New Roman" w:hAnsi="Times New Roman" w:cs="Times New Roman"/>
          <w:lang w:eastAsia="pl-PL"/>
        </w:rPr>
        <w:t xml:space="preserve">ami do </w:t>
      </w:r>
      <w:r>
        <w:rPr>
          <w:rFonts w:ascii="Times New Roman" w:hAnsi="Times New Roman" w:cs="Times New Roman"/>
          <w:lang w:eastAsia="pl-PL"/>
        </w:rPr>
        <w:t>PFU (Załącznik nr 12a – L</w:t>
      </w:r>
      <w:r w:rsidRPr="00413261">
        <w:rPr>
          <w:rFonts w:ascii="Times New Roman" w:hAnsi="Times New Roman" w:cs="Times New Roman"/>
          <w:lang w:eastAsia="pl-PL"/>
        </w:rPr>
        <w:t>okaliza</w:t>
      </w:r>
      <w:r>
        <w:rPr>
          <w:rFonts w:ascii="Times New Roman" w:hAnsi="Times New Roman" w:cs="Times New Roman"/>
          <w:lang w:eastAsia="pl-PL"/>
        </w:rPr>
        <w:t xml:space="preserve">cja nowych punktów świetlnych </w:t>
      </w:r>
      <w:r w:rsidRPr="00413261">
        <w:rPr>
          <w:rFonts w:ascii="Times New Roman" w:hAnsi="Times New Roman" w:cs="Times New Roman"/>
          <w:lang w:eastAsia="pl-PL"/>
        </w:rPr>
        <w:t xml:space="preserve"> oraz</w:t>
      </w:r>
      <w:r w:rsidRPr="009B581D">
        <w:rPr>
          <w:rFonts w:ascii="Times New Roman" w:hAnsi="Times New Roman" w:cs="Times New Roman"/>
          <w:lang w:eastAsia="pl-PL"/>
        </w:rPr>
        <w:t xml:space="preserve"> </w:t>
      </w:r>
      <w:r>
        <w:rPr>
          <w:rFonts w:ascii="Times New Roman" w:hAnsi="Times New Roman" w:cs="Times New Roman"/>
          <w:lang w:eastAsia="pl-PL"/>
        </w:rPr>
        <w:t xml:space="preserve">Załącznik nr 11 - </w:t>
      </w:r>
      <w:r w:rsidRPr="009B581D">
        <w:rPr>
          <w:rFonts w:ascii="Times New Roman" w:hAnsi="Times New Roman" w:cs="Times New Roman"/>
          <w:lang w:eastAsia="pl-PL"/>
        </w:rPr>
        <w:t>Wytyczn</w:t>
      </w:r>
      <w:r>
        <w:rPr>
          <w:rFonts w:ascii="Times New Roman" w:hAnsi="Times New Roman" w:cs="Times New Roman"/>
          <w:lang w:eastAsia="pl-PL"/>
        </w:rPr>
        <w:t>e</w:t>
      </w:r>
      <w:r w:rsidRPr="009B581D">
        <w:rPr>
          <w:rFonts w:ascii="Times New Roman" w:hAnsi="Times New Roman" w:cs="Times New Roman"/>
          <w:lang w:eastAsia="pl-PL"/>
        </w:rPr>
        <w:t xml:space="preserve"> dla opraw oświetleniowych LED</w:t>
      </w:r>
      <w:r>
        <w:rPr>
          <w:rFonts w:ascii="Times New Roman" w:hAnsi="Times New Roman" w:cs="Times New Roman"/>
          <w:lang w:eastAsia="pl-PL"/>
        </w:rPr>
        <w:t>), w systemie „Zaprojektuj i W</w:t>
      </w:r>
      <w:r w:rsidRPr="009B581D">
        <w:rPr>
          <w:rFonts w:ascii="Times New Roman" w:hAnsi="Times New Roman" w:cs="Times New Roman"/>
          <w:lang w:eastAsia="pl-PL"/>
        </w:rPr>
        <w:t>ybuduj”</w:t>
      </w:r>
      <w:r>
        <w:rPr>
          <w:rFonts w:ascii="Times New Roman" w:hAnsi="Times New Roman" w:cs="Times New Roman"/>
          <w:lang w:eastAsia="pl-PL"/>
        </w:rPr>
        <w:t xml:space="preserve"> oraz </w:t>
      </w:r>
      <w:r w:rsidRPr="00F97F3F">
        <w:rPr>
          <w:rFonts w:ascii="Times New Roman" w:hAnsi="Times New Roman" w:cs="Times New Roman"/>
          <w:b/>
          <w:lang w:eastAsia="pl-PL"/>
        </w:rPr>
        <w:t>1830 m i 170 m nowych linii oświetleniowych dla ścieżki pieszo-rowerowej</w:t>
      </w:r>
      <w:r>
        <w:rPr>
          <w:rFonts w:ascii="Times New Roman" w:hAnsi="Times New Roman" w:cs="Times New Roman"/>
          <w:lang w:eastAsia="pl-PL"/>
        </w:rPr>
        <w:t xml:space="preserve"> w systemie „Zaprojektuj i Wybuduj” z uwzględnieniem opraw dedykowanych dla ścieżek rowerowych i pieszych</w:t>
      </w:r>
      <w:r w:rsidRPr="009B581D">
        <w:rPr>
          <w:rFonts w:ascii="Times New Roman" w:hAnsi="Times New Roman" w:cs="Times New Roman"/>
          <w:lang w:eastAsia="pl-PL"/>
        </w:rPr>
        <w:t>;</w:t>
      </w:r>
    </w:p>
    <w:p w:rsidR="00A3065D" w:rsidRPr="009C6BCC" w:rsidRDefault="00A3065D" w:rsidP="00A3065D">
      <w:pPr>
        <w:numPr>
          <w:ilvl w:val="1"/>
          <w:numId w:val="3"/>
        </w:numPr>
        <w:autoSpaceDE w:val="0"/>
        <w:adjustRightInd w:val="0"/>
        <w:spacing w:after="0"/>
        <w:ind w:left="993" w:right="23"/>
        <w:jc w:val="both"/>
        <w:rPr>
          <w:rFonts w:ascii="Times New Roman" w:hAnsi="Times New Roman" w:cs="Times New Roman"/>
          <w:lang w:eastAsia="pl-PL"/>
        </w:rPr>
      </w:pPr>
      <w:r>
        <w:rPr>
          <w:rFonts w:ascii="Times New Roman" w:hAnsi="Times New Roman" w:cs="Times New Roman"/>
          <w:b/>
          <w:bCs/>
          <w:lang w:eastAsia="pl-PL"/>
        </w:rPr>
        <w:t xml:space="preserve">łącznie 39.500 </w:t>
      </w:r>
      <w:proofErr w:type="spellStart"/>
      <w:r>
        <w:rPr>
          <w:rFonts w:ascii="Times New Roman" w:hAnsi="Times New Roman" w:cs="Times New Roman"/>
          <w:b/>
          <w:bCs/>
          <w:lang w:eastAsia="pl-PL"/>
        </w:rPr>
        <w:t>mb</w:t>
      </w:r>
      <w:proofErr w:type="spellEnd"/>
      <w:r>
        <w:rPr>
          <w:rFonts w:ascii="Times New Roman" w:hAnsi="Times New Roman" w:cs="Times New Roman"/>
          <w:b/>
          <w:bCs/>
          <w:lang w:eastAsia="pl-PL"/>
        </w:rPr>
        <w:t xml:space="preserve"> dwużyłowej linii zasilającej oprawy (ilość szacunkowa) zastępującej starą linię jednożyłową,  zgodnie z PFU i Załącznikami do PFU. </w:t>
      </w:r>
      <w:r>
        <w:rPr>
          <w:rFonts w:ascii="Times New Roman" w:hAnsi="Times New Roman" w:cs="Times New Roman"/>
          <w:bCs/>
          <w:lang w:eastAsia="pl-PL"/>
        </w:rPr>
        <w:t>Zamawiający wymaga, aby Wykonawca przed przystąpieniem do prac budowlanych przeprowadził inwentaryzację istniejących sieci zasilających z uwzględnieniem długości linii napowietrznych jednożyłowych, które będą podlegały wymianie na linie dwużyłowe. Ostateczna długość linii wyniknie z inwentaryzacji i zatwierdzonego przez Zamawiającego projektu modernizacji linii zasilającej napowietrznej. W miejscach wskazanych przez Zamawiającego Wykonawca będzie zobowiązany zastosować zasilanie kablowe podziemne, ze względu na specyfikę terenu i funkcję obszaru. Ostateczną propozycję wymiany przewodów zasilających zatwierdzi Zamawiający, i taki zatwierdzony projekt będzie podstawą do wyliczenia dodatkowej wartości zamówienia;</w:t>
      </w:r>
    </w:p>
    <w:p w:rsidR="00A55AFC" w:rsidRPr="00A55AFC" w:rsidRDefault="00A3065D" w:rsidP="00A55AFC">
      <w:pPr>
        <w:numPr>
          <w:ilvl w:val="1"/>
          <w:numId w:val="3"/>
        </w:numPr>
        <w:autoSpaceDE w:val="0"/>
        <w:adjustRightInd w:val="0"/>
        <w:spacing w:after="0"/>
        <w:ind w:left="993" w:right="23"/>
        <w:jc w:val="both"/>
        <w:rPr>
          <w:rFonts w:ascii="Times New Roman" w:hAnsi="Times New Roman" w:cs="Times New Roman"/>
          <w:lang w:eastAsia="pl-PL"/>
        </w:rPr>
      </w:pPr>
      <w:r>
        <w:rPr>
          <w:rFonts w:ascii="Times New Roman" w:hAnsi="Times New Roman" w:cs="Times New Roman"/>
          <w:b/>
          <w:bCs/>
          <w:lang w:eastAsia="pl-PL"/>
        </w:rPr>
        <w:t>łącznie 29</w:t>
      </w:r>
      <w:r>
        <w:rPr>
          <w:rFonts w:ascii="Times New Roman" w:hAnsi="Times New Roman" w:cs="Times New Roman"/>
          <w:lang w:eastAsia="pl-PL"/>
        </w:rPr>
        <w:t xml:space="preserve"> </w:t>
      </w:r>
      <w:r w:rsidRPr="00630E8D">
        <w:rPr>
          <w:rFonts w:ascii="Times New Roman" w:hAnsi="Times New Roman" w:cs="Times New Roman"/>
          <w:b/>
          <w:lang w:eastAsia="pl-PL"/>
        </w:rPr>
        <w:t>nowych szafek oświetleniowych SOU (ilość szacunkowa) w miejsce dotychczasowych szafek zabudowanych w stacjach transformatorowych (wymóg PGE Dystrybucja SA).</w:t>
      </w:r>
      <w:r>
        <w:rPr>
          <w:rFonts w:ascii="Times New Roman" w:hAnsi="Times New Roman" w:cs="Times New Roman"/>
          <w:lang w:eastAsia="pl-PL"/>
        </w:rPr>
        <w:t xml:space="preserve"> Zamawiający wymaga, aby Wykonawca przed przystąpieniem do prac budowlanych </w:t>
      </w:r>
      <w:r>
        <w:rPr>
          <w:rFonts w:ascii="Times New Roman" w:hAnsi="Times New Roman" w:cs="Times New Roman"/>
          <w:bCs/>
          <w:lang w:eastAsia="pl-PL"/>
        </w:rPr>
        <w:t xml:space="preserve">przeprowadził inwentaryzację istniejących szafek zasilających zlokalizowanych w stacjach </w:t>
      </w:r>
      <w:proofErr w:type="spellStart"/>
      <w:r>
        <w:rPr>
          <w:rFonts w:ascii="Times New Roman" w:hAnsi="Times New Roman" w:cs="Times New Roman"/>
          <w:bCs/>
          <w:lang w:eastAsia="pl-PL"/>
        </w:rPr>
        <w:t>trafo</w:t>
      </w:r>
      <w:proofErr w:type="spellEnd"/>
      <w:r>
        <w:rPr>
          <w:rFonts w:ascii="Times New Roman" w:hAnsi="Times New Roman" w:cs="Times New Roman"/>
          <w:bCs/>
          <w:lang w:eastAsia="pl-PL"/>
        </w:rPr>
        <w:t xml:space="preserve">, oraz docelowo zaproponował zmniejszenie liczby </w:t>
      </w:r>
    </w:p>
    <w:p w:rsidR="00A55AFC" w:rsidRPr="00A55AFC" w:rsidRDefault="00A55AFC" w:rsidP="00A55AFC">
      <w:pPr>
        <w:autoSpaceDE w:val="0"/>
        <w:adjustRightInd w:val="0"/>
        <w:spacing w:after="0"/>
        <w:ind w:left="993" w:right="23"/>
        <w:jc w:val="both"/>
        <w:rPr>
          <w:rFonts w:ascii="Times New Roman" w:hAnsi="Times New Roman" w:cs="Times New Roman"/>
          <w:lang w:eastAsia="pl-PL"/>
        </w:rPr>
      </w:pPr>
    </w:p>
    <w:p w:rsidR="00A55AFC" w:rsidRPr="00A55AFC" w:rsidRDefault="00A55AFC" w:rsidP="00A55AFC">
      <w:pPr>
        <w:autoSpaceDE w:val="0"/>
        <w:adjustRightInd w:val="0"/>
        <w:spacing w:after="0"/>
        <w:ind w:left="993" w:right="23"/>
        <w:jc w:val="both"/>
        <w:rPr>
          <w:rFonts w:ascii="Times New Roman" w:hAnsi="Times New Roman" w:cs="Times New Roman"/>
          <w:lang w:eastAsia="pl-PL"/>
        </w:rPr>
      </w:pPr>
    </w:p>
    <w:p w:rsidR="00A3065D" w:rsidRPr="00A55AFC" w:rsidRDefault="00A3065D" w:rsidP="00A55AFC">
      <w:pPr>
        <w:autoSpaceDE w:val="0"/>
        <w:adjustRightInd w:val="0"/>
        <w:spacing w:after="0"/>
        <w:ind w:left="993" w:right="23"/>
        <w:jc w:val="both"/>
        <w:rPr>
          <w:rFonts w:ascii="Times New Roman" w:hAnsi="Times New Roman" w:cs="Times New Roman"/>
          <w:lang w:eastAsia="pl-PL"/>
        </w:rPr>
      </w:pPr>
      <w:r>
        <w:rPr>
          <w:rFonts w:ascii="Times New Roman" w:hAnsi="Times New Roman" w:cs="Times New Roman"/>
          <w:bCs/>
          <w:lang w:eastAsia="pl-PL"/>
        </w:rPr>
        <w:t xml:space="preserve">istniejących szafek SOU poprzez połączenie niektórych obwodów zasilania i redukcję ilości liczników. Ostateczną propozycję wyniesienia szafek SOU oraz redukcji obwodów </w:t>
      </w:r>
    </w:p>
    <w:p w:rsidR="00A3065D" w:rsidRPr="00A3065D" w:rsidRDefault="00A3065D" w:rsidP="00A3065D">
      <w:pPr>
        <w:autoSpaceDE w:val="0"/>
        <w:adjustRightInd w:val="0"/>
        <w:spacing w:after="0"/>
        <w:ind w:left="993" w:right="23"/>
        <w:jc w:val="both"/>
        <w:rPr>
          <w:rFonts w:ascii="Times New Roman" w:hAnsi="Times New Roman" w:cs="Times New Roman"/>
          <w:lang w:eastAsia="pl-PL"/>
        </w:rPr>
      </w:pPr>
      <w:r>
        <w:rPr>
          <w:rFonts w:ascii="Times New Roman" w:hAnsi="Times New Roman" w:cs="Times New Roman"/>
          <w:bCs/>
          <w:lang w:eastAsia="pl-PL"/>
        </w:rPr>
        <w:t>zasilania zatwierdzi Zamawiający, i taki zatwierdzony projekt będzie podstawą do wyliczenia dodatkowej wartości zamówienia. Po wykonaniu montażu Zamawiający oczekuje od Wykonawcy sporządzenia inwentaryzacji powykonawczej, określającej ilości szafek SOU oraz poziomy zainstalowanej mocy opraw na każdym indywidualnym obwodzie z szafką SOU – celem wystąpienia do OSD z wnioskiem o redukcję mocy zainstalowanej.”</w:t>
      </w:r>
    </w:p>
    <w:p w:rsidR="00510C93" w:rsidRDefault="00510C93" w:rsidP="00A3065D">
      <w:pPr>
        <w:suppressAutoHyphens/>
        <w:autoSpaceDE w:val="0"/>
        <w:spacing w:after="0"/>
        <w:jc w:val="both"/>
        <w:rPr>
          <w:rFonts w:ascii="Times New Roman" w:eastAsia="Calibri" w:hAnsi="Times New Roman" w:cs="Times New Roman"/>
          <w:b/>
          <w:i/>
          <w:sz w:val="24"/>
          <w:szCs w:val="24"/>
          <w:lang w:eastAsia="zh-CN"/>
        </w:rPr>
      </w:pPr>
      <w:r>
        <w:rPr>
          <w:rFonts w:ascii="Times New Roman" w:eastAsia="Calibri" w:hAnsi="Times New Roman" w:cs="Times New Roman"/>
          <w:b/>
          <w:i/>
          <w:sz w:val="24"/>
          <w:szCs w:val="24"/>
          <w:lang w:eastAsia="zh-CN"/>
        </w:rPr>
        <w:t>zmienia się na zapis:</w:t>
      </w:r>
    </w:p>
    <w:p w:rsidR="00A55AFC" w:rsidRPr="00A55AFC" w:rsidRDefault="00A3065D" w:rsidP="00A55AFC">
      <w:pPr>
        <w:autoSpaceDE w:val="0"/>
        <w:adjustRightInd w:val="0"/>
        <w:spacing w:after="0"/>
        <w:ind w:right="23"/>
        <w:jc w:val="both"/>
        <w:rPr>
          <w:rFonts w:ascii="Times New Roman" w:eastAsia="Calibri" w:hAnsi="Times New Roman" w:cs="Times New Roman"/>
          <w:lang w:eastAsia="pl-PL"/>
        </w:rPr>
      </w:pPr>
      <w:r w:rsidRPr="00A55AFC">
        <w:rPr>
          <w:rFonts w:ascii="Times New Roman" w:eastAsia="Calibri" w:hAnsi="Times New Roman" w:cs="Times New Roman"/>
          <w:b/>
          <w:sz w:val="24"/>
          <w:szCs w:val="24"/>
          <w:lang w:eastAsia="zh-CN"/>
        </w:rPr>
        <w:t>„</w:t>
      </w:r>
      <w:r w:rsidRPr="00A3065D">
        <w:rPr>
          <w:rFonts w:ascii="Times New Roman" w:eastAsia="Calibri" w:hAnsi="Times New Roman" w:cs="Times New Roman"/>
          <w:b/>
          <w:sz w:val="24"/>
          <w:szCs w:val="24"/>
          <w:lang w:eastAsia="zh-CN"/>
        </w:rPr>
        <w:t>2)</w:t>
      </w:r>
      <w:r>
        <w:rPr>
          <w:rFonts w:ascii="Times New Roman" w:eastAsia="Calibri" w:hAnsi="Times New Roman" w:cs="Times New Roman"/>
          <w:b/>
          <w:i/>
          <w:sz w:val="24"/>
          <w:szCs w:val="24"/>
          <w:lang w:eastAsia="zh-CN"/>
        </w:rPr>
        <w:t xml:space="preserve"> </w:t>
      </w:r>
      <w:r w:rsidR="00A55AFC" w:rsidRPr="00A55AFC">
        <w:rPr>
          <w:rFonts w:ascii="Times New Roman" w:eastAsia="Calibri" w:hAnsi="Times New Roman" w:cs="Times New Roman"/>
          <w:b/>
          <w:bCs/>
          <w:lang w:eastAsia="pl-PL"/>
        </w:rPr>
        <w:t>Dobudowa oświetlenia</w:t>
      </w:r>
      <w:r w:rsidR="00A55AFC" w:rsidRPr="00A55AFC">
        <w:rPr>
          <w:rFonts w:ascii="Times New Roman" w:eastAsia="Calibri" w:hAnsi="Times New Roman" w:cs="Times New Roman"/>
          <w:lang w:eastAsia="pl-PL"/>
        </w:rPr>
        <w:t xml:space="preserve"> na terenie Gminy Stawiski (słupy ocynkowane, wysięgniki, linia kablowa, oprawa LED), w tym:</w:t>
      </w:r>
    </w:p>
    <w:p w:rsidR="00A55AFC" w:rsidRPr="00A55AFC" w:rsidRDefault="00A55AFC" w:rsidP="00A55AFC">
      <w:pPr>
        <w:numPr>
          <w:ilvl w:val="1"/>
          <w:numId w:val="6"/>
        </w:numPr>
        <w:autoSpaceDE w:val="0"/>
        <w:adjustRightInd w:val="0"/>
        <w:spacing w:after="0"/>
        <w:ind w:left="993" w:right="23" w:hanging="425"/>
        <w:jc w:val="both"/>
        <w:rPr>
          <w:rFonts w:ascii="Times New Roman" w:eastAsia="Calibri" w:hAnsi="Times New Roman" w:cs="Times New Roman"/>
          <w:lang w:eastAsia="pl-PL"/>
        </w:rPr>
      </w:pPr>
      <w:r w:rsidRPr="00A55AFC">
        <w:rPr>
          <w:rFonts w:ascii="Times New Roman" w:eastAsia="Calibri" w:hAnsi="Times New Roman" w:cs="Times New Roman"/>
          <w:b/>
          <w:bCs/>
          <w:lang w:eastAsia="pl-PL"/>
        </w:rPr>
        <w:t>łącznie 154 nowe punkty świetlne na istniejących słupach sieci przesyłowej PGE</w:t>
      </w:r>
      <w:r w:rsidRPr="00A55AFC">
        <w:rPr>
          <w:rFonts w:ascii="Times New Roman" w:eastAsia="Calibri" w:hAnsi="Times New Roman" w:cs="Times New Roman"/>
          <w:lang w:eastAsia="pl-PL"/>
        </w:rPr>
        <w:t xml:space="preserve">, zgodnie z Załącznikiem nr 12a – Lokalizacja nowych punktów świetlnych, oraz Załącznikiem nr 11 „Wytyczne dla opraw oświetleniowych LED”. Zamawiający nie posiada uzgodnień z PGE Dystrybucja SA w zakresie dobudowy nowych punktów, uzyskanie wszelkich niezbędnych zgód i uzgodnień leży po stronie Wykonawcy, jak również uzyskanie późniejszych odbiorów i zatwierdzeń. Wykonawca odpowiada również za ewentualny demontaż obecnie zamontowanych opraw i słupów oraz linii oraz ich utylizację; </w:t>
      </w:r>
    </w:p>
    <w:p w:rsidR="00A55AFC" w:rsidRPr="00A55AFC" w:rsidRDefault="00A55AFC" w:rsidP="00A55AFC">
      <w:pPr>
        <w:numPr>
          <w:ilvl w:val="1"/>
          <w:numId w:val="6"/>
        </w:numPr>
        <w:autoSpaceDE w:val="0"/>
        <w:adjustRightInd w:val="0"/>
        <w:spacing w:after="0"/>
        <w:ind w:left="993" w:right="23"/>
        <w:jc w:val="both"/>
        <w:rPr>
          <w:rFonts w:ascii="Times New Roman" w:eastAsia="Calibri" w:hAnsi="Times New Roman" w:cs="Times New Roman"/>
          <w:lang w:eastAsia="pl-PL"/>
        </w:rPr>
      </w:pPr>
      <w:r w:rsidRPr="00A55AFC">
        <w:rPr>
          <w:rFonts w:ascii="Times New Roman" w:eastAsia="Calibri" w:hAnsi="Times New Roman" w:cs="Times New Roman"/>
          <w:b/>
          <w:bCs/>
          <w:lang w:eastAsia="pl-PL"/>
        </w:rPr>
        <w:t>łącznie 88 nowych</w:t>
      </w:r>
      <w:r w:rsidRPr="00A55AFC">
        <w:rPr>
          <w:rFonts w:ascii="Times New Roman" w:eastAsia="Calibri" w:hAnsi="Times New Roman" w:cs="Times New Roman"/>
          <w:lang w:eastAsia="pl-PL"/>
        </w:rPr>
        <w:t xml:space="preserve"> </w:t>
      </w:r>
      <w:r w:rsidRPr="00A55AFC">
        <w:rPr>
          <w:rFonts w:ascii="Times New Roman" w:eastAsia="Calibri" w:hAnsi="Times New Roman" w:cs="Times New Roman"/>
          <w:b/>
          <w:lang w:eastAsia="pl-PL"/>
        </w:rPr>
        <w:t>punktów świetlnych na nowych</w:t>
      </w:r>
      <w:r w:rsidRPr="00A55AFC">
        <w:rPr>
          <w:rFonts w:ascii="Times New Roman" w:eastAsia="Calibri" w:hAnsi="Times New Roman" w:cs="Times New Roman"/>
          <w:lang w:eastAsia="pl-PL"/>
        </w:rPr>
        <w:t xml:space="preserve"> </w:t>
      </w:r>
      <w:r w:rsidRPr="00A55AFC">
        <w:rPr>
          <w:rFonts w:ascii="Times New Roman" w:eastAsia="Calibri" w:hAnsi="Times New Roman" w:cs="Times New Roman"/>
          <w:b/>
          <w:lang w:eastAsia="pl-PL"/>
        </w:rPr>
        <w:t>liniach</w:t>
      </w:r>
      <w:r w:rsidRPr="00A55AFC">
        <w:rPr>
          <w:rFonts w:ascii="Times New Roman" w:eastAsia="Calibri" w:hAnsi="Times New Roman" w:cs="Times New Roman"/>
          <w:lang w:eastAsia="pl-PL"/>
        </w:rPr>
        <w:t xml:space="preserve"> (ilość szacunkowa), </w:t>
      </w:r>
      <w:r w:rsidRPr="00A55AFC">
        <w:rPr>
          <w:rFonts w:ascii="Times New Roman" w:eastAsia="Calibri" w:hAnsi="Times New Roman" w:cs="Times New Roman"/>
          <w:b/>
          <w:bCs/>
          <w:lang w:eastAsia="pl-PL"/>
        </w:rPr>
        <w:t>zgodnie z PFU</w:t>
      </w:r>
      <w:r w:rsidRPr="00A55AFC">
        <w:rPr>
          <w:rFonts w:ascii="Times New Roman" w:eastAsia="Calibri" w:hAnsi="Times New Roman" w:cs="Times New Roman"/>
          <w:lang w:eastAsia="pl-PL"/>
        </w:rPr>
        <w:t xml:space="preserve"> i Załącznikami do PFU (Załącznik nr 12a – Lokalizacja nowych punktów świetlnych  oraz Załącznik nr 11 - Wytyczne dla opraw oświetleniowych LED), w systemie „Zaprojektuj i Wybuduj” oraz </w:t>
      </w:r>
      <w:r w:rsidRPr="00A55AFC">
        <w:rPr>
          <w:rFonts w:ascii="Times New Roman" w:eastAsia="Calibri" w:hAnsi="Times New Roman" w:cs="Times New Roman"/>
          <w:b/>
          <w:lang w:eastAsia="pl-PL"/>
        </w:rPr>
        <w:t>1830 m i 170 m nowych linii oświetleniowych dla ścieżki pieszo-rowerowej</w:t>
      </w:r>
      <w:r w:rsidRPr="00A55AFC">
        <w:rPr>
          <w:rFonts w:ascii="Times New Roman" w:eastAsia="Calibri" w:hAnsi="Times New Roman" w:cs="Times New Roman"/>
          <w:lang w:eastAsia="pl-PL"/>
        </w:rPr>
        <w:t xml:space="preserve"> w systemie „Zaprojektuj i Wybuduj” z uwzględnieniem opraw dedykowanych dla ścieżek rowerowych i pieszych;</w:t>
      </w:r>
    </w:p>
    <w:p w:rsidR="00A55AFC" w:rsidRPr="00A55AFC" w:rsidRDefault="00A55AFC" w:rsidP="00A55AFC">
      <w:pPr>
        <w:numPr>
          <w:ilvl w:val="1"/>
          <w:numId w:val="6"/>
        </w:numPr>
        <w:autoSpaceDE w:val="0"/>
        <w:adjustRightInd w:val="0"/>
        <w:spacing w:after="0"/>
        <w:ind w:left="993" w:right="23"/>
        <w:jc w:val="both"/>
        <w:rPr>
          <w:rFonts w:ascii="Times New Roman" w:eastAsia="Calibri" w:hAnsi="Times New Roman" w:cs="Times New Roman"/>
          <w:lang w:eastAsia="pl-PL"/>
        </w:rPr>
      </w:pPr>
      <w:r w:rsidRPr="00A55AFC">
        <w:rPr>
          <w:rFonts w:ascii="Times New Roman" w:eastAsia="Calibri" w:hAnsi="Times New Roman" w:cs="Times New Roman"/>
          <w:b/>
          <w:bCs/>
          <w:lang w:eastAsia="pl-PL"/>
        </w:rPr>
        <w:t xml:space="preserve">łącznie 39.500 </w:t>
      </w:r>
      <w:proofErr w:type="spellStart"/>
      <w:r w:rsidRPr="00A55AFC">
        <w:rPr>
          <w:rFonts w:ascii="Times New Roman" w:eastAsia="Calibri" w:hAnsi="Times New Roman" w:cs="Times New Roman"/>
          <w:b/>
          <w:bCs/>
          <w:lang w:eastAsia="pl-PL"/>
        </w:rPr>
        <w:t>mb</w:t>
      </w:r>
      <w:proofErr w:type="spellEnd"/>
      <w:r w:rsidRPr="00A55AFC">
        <w:rPr>
          <w:rFonts w:ascii="Times New Roman" w:eastAsia="Calibri" w:hAnsi="Times New Roman" w:cs="Times New Roman"/>
          <w:b/>
          <w:bCs/>
          <w:lang w:eastAsia="pl-PL"/>
        </w:rPr>
        <w:t xml:space="preserve"> dwużyłowej linii zasilającej oprawy (ilość szacunkowa) zastępującej starą linię jednożyłową,  zgodnie z PFU i Załącznikami do PFU. </w:t>
      </w:r>
      <w:r w:rsidRPr="00A55AFC">
        <w:rPr>
          <w:rFonts w:ascii="Times New Roman" w:eastAsia="Calibri" w:hAnsi="Times New Roman" w:cs="Times New Roman"/>
          <w:bCs/>
          <w:lang w:eastAsia="pl-PL"/>
        </w:rPr>
        <w:t>Zamawiający wymaga, aby Wykonawca przed przystąpieniem do prac budowlanych przeprowadził inwentaryzację istniejących sieci zasilających z uwzględnieniem długości linii napowietrznych jednożyłowych, które będą podlegały wymianie na linie dwużyłowe. Ostateczna długość linii wyniknie z inwentaryzacji i zatwierdzonego przez Zamawiającego projektu modernizacji linii zasilającej napowietrznej. W miejscach wskazanych przez Zamawiającego Wykonawca będzie zobowiązany zastosować zasilanie kablowe podziemne, ze względu na specyfikę terenu i funkcję obszaru. Ostateczną propozycję wymiany przewodów zasilających zatwierdzi Zamawiający, i taki zatwierdzony projekt będzie podstawą do wyliczenia dodatkowej wartości zamówienia;</w:t>
      </w:r>
    </w:p>
    <w:p w:rsidR="00A55AFC" w:rsidRPr="00A55AFC" w:rsidRDefault="00A55AFC" w:rsidP="00A55AFC">
      <w:pPr>
        <w:numPr>
          <w:ilvl w:val="1"/>
          <w:numId w:val="6"/>
        </w:numPr>
        <w:autoSpaceDE w:val="0"/>
        <w:adjustRightInd w:val="0"/>
        <w:spacing w:after="0"/>
        <w:ind w:left="993" w:right="23"/>
        <w:jc w:val="both"/>
        <w:rPr>
          <w:rFonts w:ascii="Times New Roman" w:eastAsia="Calibri" w:hAnsi="Times New Roman" w:cs="Times New Roman"/>
          <w:lang w:eastAsia="pl-PL"/>
        </w:rPr>
      </w:pPr>
      <w:r w:rsidRPr="00A55AFC">
        <w:rPr>
          <w:rFonts w:ascii="Times New Roman" w:eastAsia="Calibri" w:hAnsi="Times New Roman" w:cs="Times New Roman"/>
          <w:b/>
          <w:bCs/>
          <w:lang w:eastAsia="pl-PL"/>
        </w:rPr>
        <w:t>łącznie 29</w:t>
      </w:r>
      <w:r w:rsidRPr="00A55AFC">
        <w:rPr>
          <w:rFonts w:ascii="Times New Roman" w:eastAsia="Calibri" w:hAnsi="Times New Roman" w:cs="Times New Roman"/>
          <w:lang w:eastAsia="pl-PL"/>
        </w:rPr>
        <w:t xml:space="preserve"> </w:t>
      </w:r>
      <w:r w:rsidRPr="00A55AFC">
        <w:rPr>
          <w:rFonts w:ascii="Times New Roman" w:eastAsia="Calibri" w:hAnsi="Times New Roman" w:cs="Times New Roman"/>
          <w:b/>
          <w:lang w:eastAsia="pl-PL"/>
        </w:rPr>
        <w:t>nowych szafek oświetleniowych SOU (ilość szacunkowa) w miejsce dotychczasowych szafek zabudowanych w stacjach transformatorowych (wymóg PGE Dystrybucja SA).</w:t>
      </w:r>
      <w:r w:rsidRPr="00A55AFC">
        <w:rPr>
          <w:rFonts w:ascii="Times New Roman" w:eastAsia="Calibri" w:hAnsi="Times New Roman" w:cs="Times New Roman"/>
          <w:lang w:eastAsia="pl-PL"/>
        </w:rPr>
        <w:t xml:space="preserve"> Zamawiający wymaga, aby Wykonawca przed przystąpieniem do prac budowlanych </w:t>
      </w:r>
      <w:r w:rsidRPr="00A55AFC">
        <w:rPr>
          <w:rFonts w:ascii="Times New Roman" w:eastAsia="Calibri" w:hAnsi="Times New Roman" w:cs="Times New Roman"/>
          <w:bCs/>
          <w:lang w:eastAsia="pl-PL"/>
        </w:rPr>
        <w:t xml:space="preserve">przeprowadził inwentaryzację istniejących szafek zasilających zlokalizowanych w stacjach </w:t>
      </w:r>
      <w:proofErr w:type="spellStart"/>
      <w:r w:rsidRPr="00A55AFC">
        <w:rPr>
          <w:rFonts w:ascii="Times New Roman" w:eastAsia="Calibri" w:hAnsi="Times New Roman" w:cs="Times New Roman"/>
          <w:bCs/>
          <w:lang w:eastAsia="pl-PL"/>
        </w:rPr>
        <w:t>trafo</w:t>
      </w:r>
      <w:proofErr w:type="spellEnd"/>
      <w:r w:rsidRPr="00A55AFC">
        <w:rPr>
          <w:rFonts w:ascii="Times New Roman" w:eastAsia="Calibri" w:hAnsi="Times New Roman" w:cs="Times New Roman"/>
          <w:bCs/>
          <w:lang w:eastAsia="pl-PL"/>
        </w:rPr>
        <w:t xml:space="preserve">, oraz docelowo zaproponował zmniejszenie liczby istniejących szafek SOU poprzez połączenie niektórych obwodów zasilania i redukcję ilości liczników. Ostateczną propozycję wyniesienia szafek SOU oraz redukcji obwodów zasilania zatwierdzi Zamawiający, i taki zatwierdzony projekt będzie podstawą do wyliczenia dodatkowej wartości zamówienia. Po wykonaniu montażu Zamawiający oczekuje od Wykonawcy sporządzenia inwentaryzacji powykonawczej, określającej ilości szafek SOU oraz poziomy zainstalowanej mocy opraw na każdym indywidualnym </w:t>
      </w:r>
    </w:p>
    <w:p w:rsidR="00A55AFC" w:rsidRPr="00A55AFC" w:rsidRDefault="00A55AFC" w:rsidP="00A55AFC">
      <w:pPr>
        <w:autoSpaceDE w:val="0"/>
        <w:adjustRightInd w:val="0"/>
        <w:spacing w:after="0"/>
        <w:ind w:left="993" w:right="23"/>
        <w:jc w:val="both"/>
        <w:rPr>
          <w:rFonts w:ascii="Times New Roman" w:eastAsia="Calibri" w:hAnsi="Times New Roman" w:cs="Times New Roman"/>
          <w:lang w:eastAsia="pl-PL"/>
        </w:rPr>
      </w:pPr>
    </w:p>
    <w:p w:rsidR="00A55AFC" w:rsidRPr="00A55AFC" w:rsidRDefault="00A55AFC" w:rsidP="00A55AFC">
      <w:pPr>
        <w:autoSpaceDE w:val="0"/>
        <w:adjustRightInd w:val="0"/>
        <w:spacing w:after="0"/>
        <w:ind w:left="993" w:right="23"/>
        <w:jc w:val="both"/>
        <w:rPr>
          <w:rFonts w:ascii="Times New Roman" w:eastAsia="Calibri" w:hAnsi="Times New Roman" w:cs="Times New Roman"/>
          <w:lang w:eastAsia="pl-PL"/>
        </w:rPr>
      </w:pPr>
      <w:r w:rsidRPr="00A55AFC">
        <w:rPr>
          <w:rFonts w:ascii="Times New Roman" w:eastAsia="Calibri" w:hAnsi="Times New Roman" w:cs="Times New Roman"/>
          <w:bCs/>
          <w:lang w:eastAsia="pl-PL"/>
        </w:rPr>
        <w:t>obwodzie z szafką SOU – celem wystąpienia do OSD z wnioskiem o redukcję mocy zainstalowanej.</w:t>
      </w:r>
      <w:r>
        <w:rPr>
          <w:rFonts w:ascii="Times New Roman" w:eastAsia="Calibri" w:hAnsi="Times New Roman" w:cs="Times New Roman"/>
          <w:bCs/>
          <w:lang w:eastAsia="pl-PL"/>
        </w:rPr>
        <w:t>”</w:t>
      </w:r>
    </w:p>
    <w:p w:rsidR="00A55AFC" w:rsidRPr="00A55AFC" w:rsidRDefault="00A55AFC" w:rsidP="00A55AFC">
      <w:pPr>
        <w:suppressAutoHyphens/>
        <w:autoSpaceDE w:val="0"/>
        <w:spacing w:after="0" w:line="360" w:lineRule="auto"/>
        <w:jc w:val="both"/>
        <w:rPr>
          <w:rFonts w:ascii="Times New Roman" w:eastAsia="Calibri" w:hAnsi="Times New Roman" w:cs="Times New Roman"/>
          <w:szCs w:val="24"/>
          <w:lang w:eastAsia="zh-CN"/>
        </w:rPr>
      </w:pPr>
    </w:p>
    <w:p w:rsidR="00A55AFC" w:rsidRPr="00A55AFC" w:rsidRDefault="00A3065D" w:rsidP="00A55AFC">
      <w:pPr>
        <w:suppressAutoHyphens/>
        <w:autoSpaceDE w:val="0"/>
        <w:spacing w:after="0" w:line="360" w:lineRule="auto"/>
        <w:jc w:val="both"/>
        <w:rPr>
          <w:rFonts w:ascii="Times New Roman" w:eastAsia="Calibri" w:hAnsi="Times New Roman" w:cs="Times New Roman"/>
          <w:szCs w:val="24"/>
          <w:lang w:eastAsia="zh-CN"/>
        </w:rPr>
      </w:pPr>
      <w:r w:rsidRPr="00A55AFC">
        <w:rPr>
          <w:rFonts w:ascii="Times New Roman" w:eastAsia="Calibri" w:hAnsi="Times New Roman" w:cs="Times New Roman"/>
          <w:szCs w:val="24"/>
          <w:lang w:eastAsia="zh-CN"/>
        </w:rPr>
        <w:t>W związku z powyższą zmianie ulegają załącznik nr 10 do SIWZ, załącznik nr 12 do SIWZ oraz załącznik nr 12a do SIWZ.</w:t>
      </w:r>
    </w:p>
    <w:p w:rsidR="004C02FA" w:rsidRPr="00A55AFC" w:rsidRDefault="004C02FA" w:rsidP="00A3065D">
      <w:pPr>
        <w:spacing w:after="0" w:line="360" w:lineRule="auto"/>
        <w:jc w:val="both"/>
        <w:rPr>
          <w:rFonts w:ascii="Times New Roman" w:eastAsia="Times New Roman" w:hAnsi="Times New Roman" w:cs="Times New Roman"/>
          <w:b/>
          <w:i/>
          <w:szCs w:val="24"/>
          <w:lang w:eastAsia="pl-PL"/>
        </w:rPr>
      </w:pPr>
      <w:r w:rsidRPr="00A55AFC">
        <w:rPr>
          <w:rFonts w:ascii="Times New Roman" w:eastAsia="Times New Roman" w:hAnsi="Times New Roman" w:cs="Times New Roman"/>
          <w:b/>
          <w:i/>
          <w:szCs w:val="24"/>
          <w:lang w:eastAsia="pl-PL"/>
        </w:rPr>
        <w:t xml:space="preserve">Zamawiający informuje, iż termin składania i otwarcia ofert nie ulega zmianie. </w:t>
      </w:r>
    </w:p>
    <w:p w:rsidR="0077701E" w:rsidRDefault="0077701E" w:rsidP="00A3065D">
      <w:pPr>
        <w:autoSpaceDE w:val="0"/>
        <w:autoSpaceDN w:val="0"/>
        <w:adjustRightInd w:val="0"/>
        <w:spacing w:after="0" w:line="360" w:lineRule="auto"/>
        <w:jc w:val="both"/>
        <w:rPr>
          <w:rFonts w:ascii="Times New Roman" w:hAnsi="Times New Roman" w:cs="Times New Roman"/>
          <w:b/>
          <w:bCs/>
          <w:i/>
          <w:szCs w:val="24"/>
        </w:rPr>
      </w:pPr>
      <w:r w:rsidRPr="00A55AFC">
        <w:rPr>
          <w:rFonts w:ascii="Times New Roman" w:hAnsi="Times New Roman" w:cs="Times New Roman"/>
          <w:b/>
          <w:bCs/>
          <w:i/>
          <w:szCs w:val="24"/>
        </w:rPr>
        <w:t>Wszelkie zmiany treści SIWZ stanowią jej integralną część.</w:t>
      </w:r>
    </w:p>
    <w:p w:rsidR="00BB03AB" w:rsidRPr="00A55AFC" w:rsidRDefault="00BB03AB" w:rsidP="00A3065D">
      <w:pPr>
        <w:autoSpaceDE w:val="0"/>
        <w:autoSpaceDN w:val="0"/>
        <w:adjustRightInd w:val="0"/>
        <w:spacing w:after="0" w:line="360" w:lineRule="auto"/>
        <w:jc w:val="both"/>
        <w:rPr>
          <w:rFonts w:ascii="Times New Roman" w:hAnsi="Times New Roman" w:cs="Times New Roman"/>
          <w:b/>
          <w:bCs/>
          <w:i/>
          <w:szCs w:val="24"/>
        </w:rPr>
      </w:pPr>
      <w:bookmarkStart w:id="0" w:name="_GoBack"/>
      <w:bookmarkEnd w:id="0"/>
    </w:p>
    <w:p w:rsidR="00BB03AB" w:rsidRPr="00BB03AB" w:rsidRDefault="00BB03AB" w:rsidP="00BB03AB">
      <w:pPr>
        <w:spacing w:after="0" w:line="240" w:lineRule="auto"/>
        <w:ind w:left="495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BB03AB">
        <w:rPr>
          <w:rFonts w:ascii="Times New Roman" w:eastAsia="Times New Roman" w:hAnsi="Times New Roman" w:cs="Times New Roman"/>
          <w:b/>
          <w:sz w:val="24"/>
          <w:szCs w:val="24"/>
          <w:lang w:eastAsia="pl-PL"/>
        </w:rPr>
        <w:t>BURMISTRZ STAWISK</w:t>
      </w:r>
    </w:p>
    <w:p w:rsidR="00BB03AB" w:rsidRPr="00BB03AB" w:rsidRDefault="00BB03AB" w:rsidP="00BB03AB">
      <w:pPr>
        <w:spacing w:after="0" w:line="240" w:lineRule="auto"/>
        <w:rPr>
          <w:rFonts w:ascii="Times New Roman" w:eastAsia="Times New Roman" w:hAnsi="Times New Roman" w:cs="Times New Roman"/>
          <w:b/>
          <w:sz w:val="24"/>
          <w:szCs w:val="24"/>
          <w:lang w:eastAsia="pl-PL"/>
        </w:rPr>
      </w:pP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p>
    <w:p w:rsidR="00BB03AB" w:rsidRPr="00BB03AB" w:rsidRDefault="00BB03AB" w:rsidP="00BB03AB">
      <w:pPr>
        <w:spacing w:after="0" w:line="240" w:lineRule="auto"/>
        <w:rPr>
          <w:rFonts w:ascii="Times New Roman" w:eastAsia="Times New Roman" w:hAnsi="Times New Roman" w:cs="Times New Roman"/>
          <w:b/>
          <w:sz w:val="24"/>
          <w:szCs w:val="24"/>
          <w:lang w:eastAsia="pl-PL"/>
        </w:rPr>
      </w:pP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r>
      <w:r w:rsidRPr="00BB03AB">
        <w:rPr>
          <w:rFonts w:ascii="Times New Roman" w:eastAsia="Times New Roman" w:hAnsi="Times New Roman" w:cs="Times New Roman"/>
          <w:b/>
          <w:sz w:val="24"/>
          <w:szCs w:val="24"/>
          <w:lang w:eastAsia="pl-PL"/>
        </w:rPr>
        <w:tab/>
        <w:t xml:space="preserve"> Krzysztof Rafałowski</w:t>
      </w:r>
    </w:p>
    <w:p w:rsidR="00407381" w:rsidRPr="00407381" w:rsidRDefault="00407381" w:rsidP="00A3065D">
      <w:pPr>
        <w:spacing w:after="0"/>
        <w:jc w:val="both"/>
        <w:rPr>
          <w:rFonts w:ascii="Times New Roman" w:hAnsi="Times New Roman" w:cs="Times New Roman"/>
          <w:sz w:val="24"/>
          <w:szCs w:val="24"/>
        </w:rPr>
      </w:pPr>
    </w:p>
    <w:sectPr w:rsidR="00407381" w:rsidRPr="00407381" w:rsidSect="00A006A7">
      <w:headerReference w:type="default" r:id="rId8"/>
      <w:footerReference w:type="default" r:id="rId9"/>
      <w:pgSz w:w="11906" w:h="16838"/>
      <w:pgMar w:top="1417" w:right="1417" w:bottom="1417" w:left="1417" w:header="708"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CE" w:rsidRDefault="00025BCE" w:rsidP="00025BCE">
      <w:pPr>
        <w:spacing w:after="0" w:line="240" w:lineRule="auto"/>
      </w:pPr>
      <w:r>
        <w:separator/>
      </w:r>
    </w:p>
  </w:endnote>
  <w:endnote w:type="continuationSeparator" w:id="0">
    <w:p w:rsidR="00025BCE" w:rsidRDefault="00025BCE" w:rsidP="0002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00431189"/>
      <w:docPartObj>
        <w:docPartGallery w:val="Page Numbers (Bottom of Page)"/>
        <w:docPartUnique/>
      </w:docPartObj>
    </w:sdtPr>
    <w:sdtEndPr/>
    <w:sdtContent>
      <w:p w:rsidR="00A006A7" w:rsidRPr="00A006A7" w:rsidRDefault="00A006A7">
        <w:pPr>
          <w:pStyle w:val="Stopka"/>
          <w:jc w:val="right"/>
          <w:rPr>
            <w:sz w:val="18"/>
            <w:szCs w:val="18"/>
          </w:rPr>
        </w:pPr>
        <w:r w:rsidRPr="00A006A7">
          <w:rPr>
            <w:sz w:val="18"/>
            <w:szCs w:val="18"/>
          </w:rPr>
          <w:t xml:space="preserve">Strona | </w:t>
        </w:r>
        <w:r w:rsidRPr="00A006A7">
          <w:rPr>
            <w:sz w:val="18"/>
            <w:szCs w:val="18"/>
          </w:rPr>
          <w:fldChar w:fldCharType="begin"/>
        </w:r>
        <w:r w:rsidRPr="00A006A7">
          <w:rPr>
            <w:sz w:val="18"/>
            <w:szCs w:val="18"/>
          </w:rPr>
          <w:instrText>PAGE   \* MERGEFORMAT</w:instrText>
        </w:r>
        <w:r w:rsidRPr="00A006A7">
          <w:rPr>
            <w:sz w:val="18"/>
            <w:szCs w:val="18"/>
          </w:rPr>
          <w:fldChar w:fldCharType="separate"/>
        </w:r>
        <w:r w:rsidR="00BB03AB">
          <w:rPr>
            <w:noProof/>
            <w:sz w:val="18"/>
            <w:szCs w:val="18"/>
          </w:rPr>
          <w:t>3</w:t>
        </w:r>
        <w:r w:rsidRPr="00A006A7">
          <w:rPr>
            <w:sz w:val="18"/>
            <w:szCs w:val="18"/>
          </w:rPr>
          <w:fldChar w:fldCharType="end"/>
        </w:r>
        <w:r w:rsidRPr="00A006A7">
          <w:rPr>
            <w:sz w:val="18"/>
            <w:szCs w:val="18"/>
          </w:rPr>
          <w:t xml:space="preserve"> </w:t>
        </w:r>
      </w:p>
    </w:sdtContent>
  </w:sdt>
  <w:p w:rsidR="00A006A7" w:rsidRDefault="00A006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CE" w:rsidRDefault="00025BCE" w:rsidP="00025BCE">
      <w:pPr>
        <w:spacing w:after="0" w:line="240" w:lineRule="auto"/>
      </w:pPr>
      <w:r>
        <w:separator/>
      </w:r>
    </w:p>
  </w:footnote>
  <w:footnote w:type="continuationSeparator" w:id="0">
    <w:p w:rsidR="00025BCE" w:rsidRDefault="00025BCE" w:rsidP="00025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CE" w:rsidRDefault="00025BCE" w:rsidP="00A55AFC">
    <w:pPr>
      <w:pStyle w:val="Nagwek"/>
      <w:jc w:val="center"/>
      <w:rPr>
        <w:rFonts w:ascii="Times New Roman" w:hAnsi="Times New Roman" w:cs="Times New Roman"/>
        <w:i/>
        <w:iCs/>
        <w:color w:val="000000"/>
        <w:sz w:val="20"/>
        <w:szCs w:val="20"/>
      </w:rPr>
    </w:pPr>
    <w:r w:rsidRPr="00B57A50">
      <w:rPr>
        <w:rFonts w:ascii="Times New Roman" w:hAnsi="Times New Roman" w:cs="Times New Roman"/>
        <w:i/>
        <w:iCs/>
        <w:color w:val="000000"/>
        <w:sz w:val="20"/>
        <w:szCs w:val="20"/>
      </w:rPr>
      <w:t xml:space="preserve">Przetarg nieograniczony na roboty budowlane: „Modernizacja oświetlenia drogowego oraz dobudowa nowych punktów oświetleniowych na terenie Gminy Stawiski wraz z zapewnieniem </w:t>
    </w:r>
    <w:r>
      <w:rPr>
        <w:rFonts w:ascii="Times New Roman" w:hAnsi="Times New Roman" w:cs="Times New Roman"/>
        <w:i/>
        <w:iCs/>
        <w:color w:val="000000"/>
        <w:sz w:val="20"/>
        <w:szCs w:val="20"/>
      </w:rPr>
      <w:t>finansowania”</w:t>
    </w:r>
  </w:p>
  <w:p w:rsidR="00025BCE" w:rsidRDefault="00025BCE" w:rsidP="00A55AFC">
    <w:pPr>
      <w:pStyle w:val="Nagwek"/>
      <w:jc w:val="center"/>
    </w:pPr>
    <w:r>
      <w:rPr>
        <w:rFonts w:ascii="Times New Roman" w:hAnsi="Times New Roman" w:cs="Times New Roman"/>
        <w:i/>
        <w:iCs/>
        <w:color w:val="000000"/>
        <w:sz w:val="20"/>
        <w:szCs w:val="20"/>
      </w:rPr>
      <w:t>Sygnatura akt: DRG.271.2.2017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C19"/>
    <w:multiLevelType w:val="hybridMultilevel"/>
    <w:tmpl w:val="1C5E9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E272A4"/>
    <w:multiLevelType w:val="hybridMultilevel"/>
    <w:tmpl w:val="5E6267A2"/>
    <w:lvl w:ilvl="0" w:tplc="3E6405A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29C5A9D"/>
    <w:multiLevelType w:val="multilevel"/>
    <w:tmpl w:val="1D46602A"/>
    <w:lvl w:ilvl="0">
      <w:start w:val="1"/>
      <w:numFmt w:val="decimal"/>
      <w:lvlText w:val="%1)"/>
      <w:lvlJc w:val="left"/>
      <w:pPr>
        <w:ind w:left="720" w:hanging="720"/>
      </w:pPr>
      <w:rPr>
        <w:rFonts w:hint="default"/>
        <w:b/>
        <w:bCs/>
      </w:rPr>
    </w:lvl>
    <w:lvl w:ilvl="1">
      <w:start w:val="1"/>
      <w:numFmt w:val="decimal"/>
      <w:isLgl/>
      <w:lvlText w:val="2.%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
    <w:nsid w:val="3D7B6130"/>
    <w:multiLevelType w:val="multilevel"/>
    <w:tmpl w:val="1D46602A"/>
    <w:lvl w:ilvl="0">
      <w:start w:val="1"/>
      <w:numFmt w:val="decimal"/>
      <w:lvlText w:val="%1)"/>
      <w:lvlJc w:val="left"/>
      <w:pPr>
        <w:ind w:left="720" w:hanging="720"/>
      </w:pPr>
      <w:rPr>
        <w:rFonts w:hint="default"/>
        <w:b/>
        <w:bCs/>
      </w:rPr>
    </w:lvl>
    <w:lvl w:ilvl="1">
      <w:start w:val="1"/>
      <w:numFmt w:val="decimal"/>
      <w:isLgl/>
      <w:lvlText w:val="2.%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
    <w:nsid w:val="5E802E71"/>
    <w:multiLevelType w:val="multilevel"/>
    <w:tmpl w:val="1D46602A"/>
    <w:lvl w:ilvl="0">
      <w:start w:val="1"/>
      <w:numFmt w:val="decimal"/>
      <w:lvlText w:val="%1)"/>
      <w:lvlJc w:val="left"/>
      <w:pPr>
        <w:ind w:left="720" w:hanging="720"/>
      </w:pPr>
      <w:rPr>
        <w:rFonts w:hint="default"/>
        <w:b/>
        <w:bCs/>
      </w:rPr>
    </w:lvl>
    <w:lvl w:ilvl="1">
      <w:start w:val="1"/>
      <w:numFmt w:val="decimal"/>
      <w:isLgl/>
      <w:lvlText w:val="2.%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
    <w:nsid w:val="70374170"/>
    <w:multiLevelType w:val="hybridMultilevel"/>
    <w:tmpl w:val="4AFE733A"/>
    <w:lvl w:ilvl="0" w:tplc="D4E4E9B2">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81"/>
    <w:rsid w:val="00025BCE"/>
    <w:rsid w:val="000C097B"/>
    <w:rsid w:val="00407381"/>
    <w:rsid w:val="004C02FA"/>
    <w:rsid w:val="004E7CA1"/>
    <w:rsid w:val="00510C93"/>
    <w:rsid w:val="0077701E"/>
    <w:rsid w:val="00826829"/>
    <w:rsid w:val="00A006A7"/>
    <w:rsid w:val="00A3065D"/>
    <w:rsid w:val="00A55AFC"/>
    <w:rsid w:val="00A739BF"/>
    <w:rsid w:val="00BB03AB"/>
    <w:rsid w:val="00C47FB8"/>
    <w:rsid w:val="00D1157F"/>
    <w:rsid w:val="00D871FE"/>
    <w:rsid w:val="00DC5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829"/>
    <w:pPr>
      <w:ind w:left="720"/>
      <w:contextualSpacing/>
    </w:pPr>
  </w:style>
  <w:style w:type="paragraph" w:styleId="Nagwek">
    <w:name w:val="header"/>
    <w:basedOn w:val="Normalny"/>
    <w:link w:val="NagwekZnak"/>
    <w:uiPriority w:val="99"/>
    <w:unhideWhenUsed/>
    <w:rsid w:val="00025B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BCE"/>
  </w:style>
  <w:style w:type="paragraph" w:styleId="Stopka">
    <w:name w:val="footer"/>
    <w:basedOn w:val="Normalny"/>
    <w:link w:val="StopkaZnak"/>
    <w:uiPriority w:val="99"/>
    <w:unhideWhenUsed/>
    <w:rsid w:val="00025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829"/>
    <w:pPr>
      <w:ind w:left="720"/>
      <w:contextualSpacing/>
    </w:pPr>
  </w:style>
  <w:style w:type="paragraph" w:styleId="Nagwek">
    <w:name w:val="header"/>
    <w:basedOn w:val="Normalny"/>
    <w:link w:val="NagwekZnak"/>
    <w:uiPriority w:val="99"/>
    <w:unhideWhenUsed/>
    <w:rsid w:val="00025B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BCE"/>
  </w:style>
  <w:style w:type="paragraph" w:styleId="Stopka">
    <w:name w:val="footer"/>
    <w:basedOn w:val="Normalny"/>
    <w:link w:val="StopkaZnak"/>
    <w:uiPriority w:val="99"/>
    <w:unhideWhenUsed/>
    <w:rsid w:val="00025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181">
      <w:bodyDiv w:val="1"/>
      <w:marLeft w:val="0"/>
      <w:marRight w:val="0"/>
      <w:marTop w:val="0"/>
      <w:marBottom w:val="0"/>
      <w:divBdr>
        <w:top w:val="none" w:sz="0" w:space="0" w:color="auto"/>
        <w:left w:val="none" w:sz="0" w:space="0" w:color="auto"/>
        <w:bottom w:val="none" w:sz="0" w:space="0" w:color="auto"/>
        <w:right w:val="none" w:sz="0" w:space="0" w:color="auto"/>
      </w:divBdr>
      <w:divsChild>
        <w:div w:id="117182538">
          <w:marLeft w:val="0"/>
          <w:marRight w:val="0"/>
          <w:marTop w:val="0"/>
          <w:marBottom w:val="0"/>
          <w:divBdr>
            <w:top w:val="none" w:sz="0" w:space="0" w:color="auto"/>
            <w:left w:val="none" w:sz="0" w:space="0" w:color="auto"/>
            <w:bottom w:val="none" w:sz="0" w:space="0" w:color="auto"/>
            <w:right w:val="none" w:sz="0" w:space="0" w:color="auto"/>
          </w:divBdr>
          <w:divsChild>
            <w:div w:id="734739318">
              <w:marLeft w:val="0"/>
              <w:marRight w:val="0"/>
              <w:marTop w:val="0"/>
              <w:marBottom w:val="0"/>
              <w:divBdr>
                <w:top w:val="none" w:sz="0" w:space="0" w:color="auto"/>
                <w:left w:val="none" w:sz="0" w:space="0" w:color="auto"/>
                <w:bottom w:val="none" w:sz="0" w:space="0" w:color="auto"/>
                <w:right w:val="none" w:sz="0" w:space="0" w:color="auto"/>
              </w:divBdr>
            </w:div>
            <w:div w:id="1080560127">
              <w:marLeft w:val="0"/>
              <w:marRight w:val="0"/>
              <w:marTop w:val="0"/>
              <w:marBottom w:val="0"/>
              <w:divBdr>
                <w:top w:val="none" w:sz="0" w:space="0" w:color="auto"/>
                <w:left w:val="none" w:sz="0" w:space="0" w:color="auto"/>
                <w:bottom w:val="none" w:sz="0" w:space="0" w:color="auto"/>
                <w:right w:val="none" w:sz="0" w:space="0" w:color="auto"/>
              </w:divBdr>
            </w:div>
            <w:div w:id="1963463339">
              <w:marLeft w:val="0"/>
              <w:marRight w:val="0"/>
              <w:marTop w:val="0"/>
              <w:marBottom w:val="0"/>
              <w:divBdr>
                <w:top w:val="none" w:sz="0" w:space="0" w:color="auto"/>
                <w:left w:val="none" w:sz="0" w:space="0" w:color="auto"/>
                <w:bottom w:val="none" w:sz="0" w:space="0" w:color="auto"/>
                <w:right w:val="none" w:sz="0" w:space="0" w:color="auto"/>
              </w:divBdr>
            </w:div>
            <w:div w:id="1075007080">
              <w:marLeft w:val="0"/>
              <w:marRight w:val="0"/>
              <w:marTop w:val="0"/>
              <w:marBottom w:val="0"/>
              <w:divBdr>
                <w:top w:val="none" w:sz="0" w:space="0" w:color="auto"/>
                <w:left w:val="none" w:sz="0" w:space="0" w:color="auto"/>
                <w:bottom w:val="none" w:sz="0" w:space="0" w:color="auto"/>
                <w:right w:val="none" w:sz="0" w:space="0" w:color="auto"/>
              </w:divBdr>
            </w:div>
            <w:div w:id="498541672">
              <w:marLeft w:val="0"/>
              <w:marRight w:val="0"/>
              <w:marTop w:val="0"/>
              <w:marBottom w:val="0"/>
              <w:divBdr>
                <w:top w:val="none" w:sz="0" w:space="0" w:color="auto"/>
                <w:left w:val="none" w:sz="0" w:space="0" w:color="auto"/>
                <w:bottom w:val="none" w:sz="0" w:space="0" w:color="auto"/>
                <w:right w:val="none" w:sz="0" w:space="0" w:color="auto"/>
              </w:divBdr>
            </w:div>
            <w:div w:id="7288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3087">
      <w:bodyDiv w:val="1"/>
      <w:marLeft w:val="0"/>
      <w:marRight w:val="0"/>
      <w:marTop w:val="0"/>
      <w:marBottom w:val="0"/>
      <w:divBdr>
        <w:top w:val="none" w:sz="0" w:space="0" w:color="auto"/>
        <w:left w:val="none" w:sz="0" w:space="0" w:color="auto"/>
        <w:bottom w:val="none" w:sz="0" w:space="0" w:color="auto"/>
        <w:right w:val="none" w:sz="0" w:space="0" w:color="auto"/>
      </w:divBdr>
      <w:divsChild>
        <w:div w:id="901716257">
          <w:marLeft w:val="0"/>
          <w:marRight w:val="0"/>
          <w:marTop w:val="0"/>
          <w:marBottom w:val="0"/>
          <w:divBdr>
            <w:top w:val="none" w:sz="0" w:space="0" w:color="auto"/>
            <w:left w:val="none" w:sz="0" w:space="0" w:color="auto"/>
            <w:bottom w:val="none" w:sz="0" w:space="0" w:color="auto"/>
            <w:right w:val="none" w:sz="0" w:space="0" w:color="auto"/>
          </w:divBdr>
        </w:div>
        <w:div w:id="316039729">
          <w:marLeft w:val="0"/>
          <w:marRight w:val="0"/>
          <w:marTop w:val="0"/>
          <w:marBottom w:val="0"/>
          <w:divBdr>
            <w:top w:val="none" w:sz="0" w:space="0" w:color="auto"/>
            <w:left w:val="none" w:sz="0" w:space="0" w:color="auto"/>
            <w:bottom w:val="none" w:sz="0" w:space="0" w:color="auto"/>
            <w:right w:val="none" w:sz="0" w:space="0" w:color="auto"/>
          </w:divBdr>
        </w:div>
        <w:div w:id="527107922">
          <w:marLeft w:val="0"/>
          <w:marRight w:val="0"/>
          <w:marTop w:val="0"/>
          <w:marBottom w:val="0"/>
          <w:divBdr>
            <w:top w:val="none" w:sz="0" w:space="0" w:color="auto"/>
            <w:left w:val="none" w:sz="0" w:space="0" w:color="auto"/>
            <w:bottom w:val="none" w:sz="0" w:space="0" w:color="auto"/>
            <w:right w:val="none" w:sz="0" w:space="0" w:color="auto"/>
          </w:divBdr>
        </w:div>
        <w:div w:id="1554199897">
          <w:marLeft w:val="0"/>
          <w:marRight w:val="0"/>
          <w:marTop w:val="0"/>
          <w:marBottom w:val="0"/>
          <w:divBdr>
            <w:top w:val="none" w:sz="0" w:space="0" w:color="auto"/>
            <w:left w:val="none" w:sz="0" w:space="0" w:color="auto"/>
            <w:bottom w:val="none" w:sz="0" w:space="0" w:color="auto"/>
            <w:right w:val="none" w:sz="0" w:space="0" w:color="auto"/>
          </w:divBdr>
        </w:div>
        <w:div w:id="476999628">
          <w:marLeft w:val="0"/>
          <w:marRight w:val="0"/>
          <w:marTop w:val="0"/>
          <w:marBottom w:val="0"/>
          <w:divBdr>
            <w:top w:val="none" w:sz="0" w:space="0" w:color="auto"/>
            <w:left w:val="none" w:sz="0" w:space="0" w:color="auto"/>
            <w:bottom w:val="none" w:sz="0" w:space="0" w:color="auto"/>
            <w:right w:val="none" w:sz="0" w:space="0" w:color="auto"/>
          </w:divBdr>
        </w:div>
        <w:div w:id="125977264">
          <w:marLeft w:val="0"/>
          <w:marRight w:val="0"/>
          <w:marTop w:val="0"/>
          <w:marBottom w:val="0"/>
          <w:divBdr>
            <w:top w:val="none" w:sz="0" w:space="0" w:color="auto"/>
            <w:left w:val="none" w:sz="0" w:space="0" w:color="auto"/>
            <w:bottom w:val="none" w:sz="0" w:space="0" w:color="auto"/>
            <w:right w:val="none" w:sz="0" w:space="0" w:color="auto"/>
          </w:divBdr>
        </w:div>
        <w:div w:id="1810051507">
          <w:marLeft w:val="0"/>
          <w:marRight w:val="0"/>
          <w:marTop w:val="0"/>
          <w:marBottom w:val="0"/>
          <w:divBdr>
            <w:top w:val="none" w:sz="0" w:space="0" w:color="auto"/>
            <w:left w:val="none" w:sz="0" w:space="0" w:color="auto"/>
            <w:bottom w:val="none" w:sz="0" w:space="0" w:color="auto"/>
            <w:right w:val="none" w:sz="0" w:space="0" w:color="auto"/>
          </w:divBdr>
        </w:div>
        <w:div w:id="115468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965</Words>
  <Characters>5793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Miejski w Stawiskach</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Tyszka</dc:creator>
  <cp:lastModifiedBy>Joanna Tyszka</cp:lastModifiedBy>
  <cp:revision>4</cp:revision>
  <cp:lastPrinted>2016-11-25T21:38:00Z</cp:lastPrinted>
  <dcterms:created xsi:type="dcterms:W3CDTF">2017-09-18T12:33:00Z</dcterms:created>
  <dcterms:modified xsi:type="dcterms:W3CDTF">2017-09-18T13:38:00Z</dcterms:modified>
</cp:coreProperties>
</file>